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339" w:rsidRPr="00A51339" w:rsidRDefault="00A51339" w:rsidP="005C409A">
      <w:pP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kk-KZ"/>
        </w:rPr>
      </w:pPr>
    </w:p>
    <w:p w:rsidR="00CF7360" w:rsidRPr="00CF7360" w:rsidRDefault="00CF7360" w:rsidP="00CF73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F7360">
        <w:rPr>
          <w:rFonts w:ascii="Times New Roman" w:hAnsi="Times New Roman" w:cs="Times New Roman"/>
          <w:sz w:val="24"/>
          <w:szCs w:val="24"/>
          <w:lang w:val="kk-KZ"/>
        </w:rPr>
        <w:t>Экзаменационные вопросы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1Хранение лекарственных средств.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2Рецепт, правила его оформления.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3Названия и сравнения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терминов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русском языке встречающиеся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фитофармакологии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животных.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4Получение и использование препаратов для применения в медицине и ветеринарии.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5Названия и сравнения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терминов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русском языке встречающиеся по токсикологии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животных.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6Отравление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антикоагуляционными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ядами.  Отравление лекарственными средствами.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7Названия и сравнения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терминов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русском языке встречающиеся по патологической физиологии. Общая нозология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бщая этиология.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8Пальпация. Перкуссия. Аускультация. Осмотр. Термометрия.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9Инфекция. Эпизоотический очаг. Ворота инфекции.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Методы лабораторного исследования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11Пункция.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12Троакар. Стетоскоп, фонендоскоп.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13Частная терапия.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14Незаразные болезни животных.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15Работа в ветеринарной клинике.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16Средства и методы терапии.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17Рана.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18Тимпания.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19Ринит.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20Анемия.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21Ветеринарные термины.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22Заразные болезни животных.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23Бруцеллез.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24Сибирская язва.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1339" w:rsidRPr="00CF7360" w:rsidRDefault="00A51339" w:rsidP="00CF736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51339" w:rsidRPr="00CF7360" w:rsidSect="00791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33A5B"/>
    <w:multiLevelType w:val="hybridMultilevel"/>
    <w:tmpl w:val="DFA0C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1339"/>
    <w:rsid w:val="005C409A"/>
    <w:rsid w:val="00791EEA"/>
    <w:rsid w:val="00A51339"/>
    <w:rsid w:val="00C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студент_2</dc:creator>
  <cp:keywords/>
  <dc:description/>
  <cp:lastModifiedBy>User</cp:lastModifiedBy>
  <cp:revision>4</cp:revision>
  <dcterms:created xsi:type="dcterms:W3CDTF">2007-01-18T21:39:00Z</dcterms:created>
  <dcterms:modified xsi:type="dcterms:W3CDTF">2018-01-09T07:30:00Z</dcterms:modified>
</cp:coreProperties>
</file>